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pPr>
      <w:r>
        <w:rPr/>
        <mc:AlternateContent>
          <mc:Choice Requires="wps">
            <w:drawing>
              <wp:anchor behindDoc="0" distT="0" distB="0" distL="0" distR="0" simplePos="0" locked="0" layoutInCell="1" allowOverlap="1" relativeHeight="3">
                <wp:simplePos x="0" y="0"/>
                <wp:positionH relativeFrom="page">
                  <wp:posOffset>0</wp:posOffset>
                </wp:positionH>
                <wp:positionV relativeFrom="page">
                  <wp:posOffset>9641205</wp:posOffset>
                </wp:positionV>
                <wp:extent cx="7773035" cy="417830"/>
                <wp:effectExtent l="0" t="0" r="0" b="0"/>
                <wp:wrapNone/>
                <wp:docPr id="1" name="Frame1"/>
                <a:graphic xmlns:a="http://schemas.openxmlformats.org/drawingml/2006/main">
                  <a:graphicData uri="http://schemas.microsoft.com/office/word/2010/wordprocessingShape">
                    <wps:wsp>
                      <wps:cNvSpPr/>
                      <wps:spPr>
                        <a:xfrm>
                          <a:off x="0" y="0"/>
                          <a:ext cx="7772400" cy="417240"/>
                        </a:xfrm>
                        <a:prstGeom prst="rect">
                          <a:avLst/>
                        </a:prstGeom>
                        <a:solidFill>
                          <a:srgbClr val="3465a4"/>
                        </a:solidFill>
                        <a:ln w="720">
                          <a:solidFill>
                            <a:srgbClr val="3465a4"/>
                          </a:solidFill>
                          <a:round/>
                        </a:ln>
                      </wps:spPr>
                      <wps:style>
                        <a:lnRef idx="0"/>
                        <a:fillRef idx="0"/>
                        <a:effectRef idx="0"/>
                        <a:fontRef idx="minor"/>
                      </wps:style>
                      <wps:txbx>
                        <w:txbxContent>
                          <w:p>
                            <w:pPr>
                              <w:pStyle w:val="FrameContents"/>
                              <w:rPr>
                                <w:color w:val="auto"/>
                              </w:rPr>
                            </w:pPr>
                            <w:r>
                              <w:rPr>
                                <w:color w:val="auto"/>
                              </w:rPr>
                            </w:r>
                          </w:p>
                        </w:txbxContent>
                      </wps:txbx>
                      <wps:bodyPr lIns="0" rIns="0" tIns="0" bIns="0">
                        <a:noAutofit/>
                      </wps:bodyPr>
                    </wps:wsp>
                  </a:graphicData>
                </a:graphic>
              </wp:anchor>
            </w:drawing>
          </mc:Choice>
          <mc:Fallback>
            <w:pict>
              <v:rect id="shape_0" ID="Frame1" fillcolor="#3465a4" stroked="t" style="position:absolute;margin-left:0pt;margin-top:759.15pt;width:611.95pt;height:32.8pt;mso-position-horizontal-relative:page;mso-position-vertical-relative:page">
                <w10:wrap type="none"/>
                <v:fill o:detectmouseclick="t" type="solid" color2="#cb9a5b"/>
                <v:stroke color="#3465a4" weight="720" joinstyle="round" endcap="flat"/>
                <v:textbox>
                  <w:txbxContent>
                    <w:p>
                      <w:pPr>
                        <w:pStyle w:val="FrameContents"/>
                        <w:rPr>
                          <w:color w:val="auto"/>
                        </w:rPr>
                      </w:pPr>
                      <w:r>
                        <w:rPr>
                          <w:color w:val="auto"/>
                        </w:rPr>
                      </w:r>
                    </w:p>
                  </w:txbxContent>
                </v:textbox>
              </v:rect>
            </w:pict>
          </mc:Fallback>
        </mc:AlternateContent>
        <w:drawing>
          <wp:anchor behindDoc="0" distT="0" distB="0" distL="0" distR="0" simplePos="0" locked="0" layoutInCell="1" allowOverlap="1" relativeHeight="2">
            <wp:simplePos x="0" y="0"/>
            <wp:positionH relativeFrom="column">
              <wp:align>center</wp:align>
            </wp:positionH>
            <wp:positionV relativeFrom="page">
              <wp:posOffset>419735</wp:posOffset>
            </wp:positionV>
            <wp:extent cx="1383030" cy="14509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1383030" cy="1450975"/>
                    </a:xfrm>
                    <a:prstGeom prst="rect">
                      <a:avLst/>
                    </a:prstGeom>
                  </pic:spPr>
                </pic:pic>
              </a:graphicData>
            </a:graphic>
          </wp:anchor>
        </w:drawing>
      </w:r>
    </w:p>
    <w:p>
      <w:pPr>
        <w:pStyle w:val="Normal"/>
        <w:jc w:val="left"/>
        <w:rPr>
          <w:rFonts w:ascii="Arial" w:hAnsi="Arial"/>
        </w:rPr>
      </w:pPr>
      <w:r>
        <w:rPr>
          <w:rFonts w:ascii="Arial" w:hAnsi="Arial"/>
        </w:rPr>
      </w:r>
    </w:p>
    <w:p>
      <w:pPr>
        <w:pStyle w:val="Normal"/>
        <w:jc w:val="right"/>
        <w:rPr>
          <w:rFonts w:ascii="Arial" w:hAnsi="Arial"/>
        </w:rPr>
      </w:pPr>
      <w:r>
        <w:rPr>
          <w:rFonts w:ascii="Arial" w:hAnsi="Arial"/>
        </w:rPr>
        <w:t>FOR IMMEDIATE RELEASE</w:t>
        <w:tab/>
        <w:t xml:space="preserve">     Press Contact: Seth Lockman, Communications Director</w:t>
      </w:r>
    </w:p>
    <w:p>
      <w:pPr>
        <w:pStyle w:val="Normal"/>
        <w:jc w:val="right"/>
        <w:rPr>
          <w:rFonts w:ascii="Arial" w:hAnsi="Arial"/>
        </w:rPr>
      </w:pPr>
      <w:r>
        <w:rPr>
          <w:rFonts w:ascii="Arial" w:hAnsi="Arial"/>
        </w:rPr>
        <w:t>Phone: (207) 835-4079, ext. 149</w:t>
      </w:r>
    </w:p>
    <w:p>
      <w:pPr>
        <w:pStyle w:val="Normal"/>
        <w:jc w:val="right"/>
        <w:rPr/>
      </w:pPr>
      <w:r>
        <w:rPr>
          <w:rFonts w:ascii="Arial" w:hAnsi="Arial"/>
          <w:sz w:val="24"/>
          <w:szCs w:val="24"/>
        </w:rPr>
        <w:t xml:space="preserve">Email: </w:t>
      </w:r>
      <w:hyperlink r:id="rId3">
        <w:r>
          <w:rPr>
            <w:rStyle w:val="InternetLink"/>
            <w:rFonts w:ascii="Arial" w:hAnsi="Arial"/>
            <w:sz w:val="24"/>
            <w:szCs w:val="24"/>
          </w:rPr>
          <w:t>seth.lockman@blushiftaerospace.com</w:t>
        </w:r>
      </w:hyperlink>
    </w:p>
    <w:p>
      <w:pPr>
        <w:pStyle w:val="Normal"/>
        <w:jc w:val="right"/>
        <w:rPr>
          <w:rFonts w:ascii="Arial" w:hAnsi="Arial"/>
          <w:sz w:val="24"/>
          <w:szCs w:val="24"/>
        </w:rPr>
      </w:pPr>
      <w:r>
        <w:rPr>
          <w:rFonts w:ascii="Arial" w:hAnsi="Arial"/>
          <w:sz w:val="24"/>
          <w:szCs w:val="24"/>
        </w:rPr>
      </w:r>
    </w:p>
    <w:p>
      <w:pPr>
        <w:pStyle w:val="Title"/>
        <w:rPr/>
      </w:pPr>
      <w:r>
        <w:rPr>
          <w:rFonts w:ascii="Arial" w:hAnsi="Arial"/>
        </w:rPr>
        <w:t>Maine Rocket Co. Wins NASA Grant</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pPr>
      <w:r>
        <w:rPr>
          <w:rFonts w:ascii="Arial" w:hAnsi="Arial"/>
          <w:b/>
          <w:bCs/>
        </w:rPr>
        <w:t>Brunswick, Maine (June 18, 2019)</w:t>
      </w:r>
      <w:r>
        <w:rPr>
          <w:rFonts w:ascii="Arial" w:hAnsi="Arial"/>
        </w:rPr>
        <w:t xml:space="preserve"> – A Small Business Innovation Research (SBIR) grant proposal, submitted by </w:t>
      </w:r>
      <w:hyperlink r:id="rId4">
        <w:r>
          <w:rPr>
            <w:rStyle w:val="InternetLink"/>
            <w:rFonts w:ascii="Arial" w:hAnsi="Arial"/>
          </w:rPr>
          <w:t>bluShift Aerospace</w:t>
        </w:r>
      </w:hyperlink>
      <w:r>
        <w:rPr>
          <w:rFonts w:ascii="Arial" w:hAnsi="Arial"/>
        </w:rPr>
        <w:t xml:space="preserve"> earlier this year, has been selected by NASA for negotiation of a contract. The Phase 1 grant will help bluShift develop its fully modular hybrid rocket engines, referred to as MAREVLs (</w:t>
      </w:r>
      <w:r>
        <w:rPr>
          <w:rFonts w:ascii="Arial" w:hAnsi="Arial"/>
          <w:b/>
        </w:rPr>
        <w:t>M</w:t>
      </w:r>
      <w:r>
        <w:rPr>
          <w:rFonts w:ascii="Arial" w:hAnsi="Arial"/>
        </w:rPr>
        <w:t xml:space="preserve">odular </w:t>
      </w:r>
      <w:r>
        <w:rPr>
          <w:rFonts w:ascii="Arial" w:hAnsi="Arial"/>
          <w:b/>
        </w:rPr>
        <w:t>A</w:t>
      </w:r>
      <w:r>
        <w:rPr>
          <w:rFonts w:ascii="Arial" w:hAnsi="Arial"/>
        </w:rPr>
        <w:t xml:space="preserve">daptable </w:t>
      </w:r>
      <w:r>
        <w:rPr>
          <w:rFonts w:ascii="Arial" w:hAnsi="Arial"/>
          <w:b/>
        </w:rPr>
        <w:t>R</w:t>
      </w:r>
      <w:r>
        <w:rPr>
          <w:rFonts w:ascii="Arial" w:hAnsi="Arial"/>
        </w:rPr>
        <w:t xml:space="preserve">ocket </w:t>
      </w:r>
      <w:r>
        <w:rPr>
          <w:rFonts w:ascii="Arial" w:hAnsi="Arial"/>
          <w:b/>
        </w:rPr>
        <w:t>E</w:t>
      </w:r>
      <w:r>
        <w:rPr>
          <w:rFonts w:ascii="Arial" w:hAnsi="Arial"/>
        </w:rPr>
        <w:t xml:space="preserve">ngine for </w:t>
      </w:r>
      <w:r>
        <w:rPr>
          <w:rFonts w:ascii="Arial" w:hAnsi="Arial"/>
          <w:b/>
        </w:rPr>
        <w:t>V</w:t>
      </w:r>
      <w:r>
        <w:rPr>
          <w:rFonts w:ascii="Arial" w:hAnsi="Arial"/>
        </w:rPr>
        <w:t xml:space="preserve">ehicle </w:t>
      </w:r>
      <w:r>
        <w:rPr>
          <w:rFonts w:ascii="Arial" w:hAnsi="Arial"/>
          <w:b/>
        </w:rPr>
        <w:t>L</w:t>
      </w:r>
      <w:r>
        <w:rPr>
          <w:rFonts w:ascii="Arial" w:hAnsi="Arial"/>
        </w:rPr>
        <w:t>aunch).</w:t>
      </w:r>
    </w:p>
    <w:p>
      <w:pPr>
        <w:pStyle w:val="Normal"/>
        <w:rPr>
          <w:rFonts w:ascii="Arial" w:hAnsi="Arial"/>
        </w:rPr>
      </w:pPr>
      <w:r>
        <w:rPr>
          <w:rFonts w:ascii="Arial" w:hAnsi="Arial"/>
        </w:rPr>
      </w:r>
    </w:p>
    <w:p>
      <w:pPr>
        <w:pStyle w:val="Normal"/>
        <w:rPr>
          <w:rFonts w:ascii="Arial" w:hAnsi="Arial"/>
        </w:rPr>
      </w:pPr>
      <w:r>
        <w:rPr>
          <w:rFonts w:ascii="Arial" w:hAnsi="Arial"/>
        </w:rPr>
        <w:t>Modern orbital rockets are made up of two or more stages. Different stages use different engine types, each optimized for a specific part of the ascent. With MAREVL, each stage will have different numbers of the same engine type. MAREVL uses a hybrid rocket, in which liquid oxidizer combines with a solid fuel, to reduce the complexity, weight, and cost of the engine.</w:t>
      </w:r>
    </w:p>
    <w:p>
      <w:pPr>
        <w:pStyle w:val="Normal"/>
        <w:rPr>
          <w:rFonts w:ascii="Arial" w:hAnsi="Arial"/>
        </w:rPr>
      </w:pPr>
      <w:r>
        <w:rPr>
          <w:rFonts w:ascii="Arial" w:hAnsi="Arial"/>
        </w:rPr>
      </w:r>
    </w:p>
    <w:p>
      <w:pPr>
        <w:pStyle w:val="Normal"/>
        <w:rPr>
          <w:rFonts w:ascii="Arial" w:hAnsi="Arial"/>
        </w:rPr>
      </w:pPr>
      <w:r>
        <w:rPr>
          <w:rFonts w:ascii="Arial" w:hAnsi="Arial"/>
        </w:rPr>
        <w:t>By perfecting and using a single, simple class of engine on all stages of a rocket, bluShift will lower costs associated with research, development, and manufacturing of any rocket powered by it. Mass production will further lower the cost of the engine. Any stage powered by three or more engines can steer by throttling instead of rotating the engines, further reducing weight and complexity.</w:t>
      </w:r>
    </w:p>
    <w:p>
      <w:pPr>
        <w:pStyle w:val="Normal"/>
        <w:rPr>
          <w:rFonts w:ascii="Arial" w:hAnsi="Arial"/>
        </w:rPr>
      </w:pPr>
      <w:r>
        <w:rPr>
          <w:rFonts w:ascii="Arial" w:hAnsi="Arial"/>
        </w:rPr>
      </w:r>
    </w:p>
    <w:p>
      <w:pPr>
        <w:pStyle w:val="Normal"/>
        <w:rPr>
          <w:rFonts w:ascii="Arial" w:hAnsi="Arial"/>
        </w:rPr>
      </w:pPr>
      <w:r>
        <w:rPr>
          <w:rFonts w:ascii="Arial" w:hAnsi="Arial"/>
        </w:rPr>
        <w:t>Ultimately MAREVL will allow more frequent and more affordable launches. Any loss in efficiency will be made up for in overall cost savings, and be negated by bluShift’s proprietary bio-derived fuel, which is carbon-neutral.</w:t>
      </w:r>
    </w:p>
    <w:p>
      <w:pPr>
        <w:pStyle w:val="Normal"/>
        <w:rPr>
          <w:rFonts w:ascii="Arial" w:hAnsi="Arial"/>
        </w:rPr>
      </w:pPr>
      <w:r>
        <w:rPr>
          <w:rFonts w:ascii="Arial" w:hAnsi="Arial"/>
        </w:rPr>
      </w:r>
    </w:p>
    <w:p>
      <w:pPr>
        <w:pStyle w:val="Normal"/>
        <w:jc w:val="center"/>
        <w:rPr>
          <w:rFonts w:ascii="Arial" w:hAnsi="Arial"/>
        </w:rPr>
      </w:pPr>
      <w:r>
        <w:rPr>
          <w:rFonts w:ascii="Arial" w:hAnsi="Arial"/>
        </w:rPr>
        <w:t>- more -</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mc:AlternateContent>
          <mc:Choice Requires="wps">
            <w:drawing>
              <wp:anchor behindDoc="0" distT="0" distB="0" distL="0" distR="0" simplePos="0" locked="0" layoutInCell="1" allowOverlap="1" relativeHeight="5">
                <wp:simplePos x="0" y="0"/>
                <wp:positionH relativeFrom="page">
                  <wp:posOffset>0</wp:posOffset>
                </wp:positionH>
                <wp:positionV relativeFrom="page">
                  <wp:posOffset>9641205</wp:posOffset>
                </wp:positionV>
                <wp:extent cx="7773035" cy="417830"/>
                <wp:effectExtent l="0" t="0" r="0" b="0"/>
                <wp:wrapNone/>
                <wp:docPr id="4" name="Frame2"/>
                <a:graphic xmlns:a="http://schemas.openxmlformats.org/drawingml/2006/main">
                  <a:graphicData uri="http://schemas.microsoft.com/office/word/2010/wordprocessingShape">
                    <wps:wsp>
                      <wps:cNvSpPr/>
                      <wps:spPr>
                        <a:xfrm>
                          <a:off x="0" y="0"/>
                          <a:ext cx="7772400" cy="417240"/>
                        </a:xfrm>
                        <a:prstGeom prst="rect">
                          <a:avLst/>
                        </a:prstGeom>
                        <a:solidFill>
                          <a:srgbClr val="3465a4"/>
                        </a:solidFill>
                        <a:ln w="720">
                          <a:solidFill>
                            <a:srgbClr val="3465a4"/>
                          </a:solidFill>
                          <a:round/>
                        </a:ln>
                      </wps:spPr>
                      <wps:style>
                        <a:lnRef idx="0"/>
                        <a:fillRef idx="0"/>
                        <a:effectRef idx="0"/>
                        <a:fontRef idx="minor"/>
                      </wps:style>
                      <wps:txbx>
                        <w:txbxContent>
                          <w:p>
                            <w:pPr>
                              <w:pStyle w:val="FrameContents"/>
                              <w:rPr>
                                <w:color w:val="auto"/>
                              </w:rPr>
                            </w:pPr>
                            <w:r>
                              <w:rPr>
                                <w:color w:val="auto"/>
                              </w:rPr>
                            </w:r>
                          </w:p>
                        </w:txbxContent>
                      </wps:txbx>
                      <wps:bodyPr lIns="0" rIns="0" tIns="0" bIns="0">
                        <a:noAutofit/>
                      </wps:bodyPr>
                    </wps:wsp>
                  </a:graphicData>
                </a:graphic>
              </wp:anchor>
            </w:drawing>
          </mc:Choice>
          <mc:Fallback>
            <w:pict>
              <v:rect id="shape_0" ID="Frame2" fillcolor="#3465a4" stroked="t" style="position:absolute;margin-left:0pt;margin-top:759.15pt;width:611.95pt;height:32.8pt;mso-position-horizontal-relative:page;mso-position-vertical-relative:page">
                <w10:wrap type="none"/>
                <v:fill o:detectmouseclick="t" type="solid" color2="#cb9a5b"/>
                <v:stroke color="#3465a4" weight="720" joinstyle="round" endcap="flat"/>
                <v:textbox>
                  <w:txbxContent>
                    <w:p>
                      <w:pPr>
                        <w:pStyle w:val="FrameContents"/>
                        <w:rPr>
                          <w:color w:val="auto"/>
                        </w:rPr>
                      </w:pPr>
                      <w:r>
                        <w:rPr>
                          <w:color w:val="auto"/>
                        </w:rPr>
                      </w:r>
                    </w:p>
                  </w:txbxContent>
                </v:textbox>
              </v:rect>
            </w:pict>
          </mc:Fallback>
        </mc:AlternateContent>
        <w:drawing>
          <wp:anchor behindDoc="0" distT="0" distB="0" distL="0" distR="0" simplePos="0" locked="0" layoutInCell="1" allowOverlap="1" relativeHeight="4">
            <wp:simplePos x="0" y="0"/>
            <wp:positionH relativeFrom="column">
              <wp:align>center</wp:align>
            </wp:positionH>
            <wp:positionV relativeFrom="page">
              <wp:posOffset>419735</wp:posOffset>
            </wp:positionV>
            <wp:extent cx="1383030" cy="1450975"/>
            <wp:effectExtent l="0" t="0" r="0" b="0"/>
            <wp:wrapSquare wrapText="largest"/>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5"/>
                    <a:stretch>
                      <a:fillRect/>
                    </a:stretch>
                  </pic:blipFill>
                  <pic:spPr bwMode="auto">
                    <a:xfrm>
                      <a:off x="0" y="0"/>
                      <a:ext cx="1383030" cy="1450975"/>
                    </a:xfrm>
                    <a:prstGeom prst="rect">
                      <a:avLst/>
                    </a:prstGeom>
                  </pic:spPr>
                </pic:pic>
              </a:graphicData>
            </a:graphic>
          </wp:anchor>
        </w:drawing>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pPr>
      <w:r>
        <w:rPr>
          <w:rFonts w:ascii="Arial" w:hAnsi="Arial"/>
        </w:rPr>
        <w:t xml:space="preserve">These funds came at a much needed time for the bluShift team, who want to accelerate R&amp;D to produce a working prototype. Founding CEO Sascha Deri reflected on the award, “This is an incredible opportunity to develop hi-tech here in my home state, diversify Maine’s economy, and keep more of our bright young tech people here in Maine in the future.” For more on this year’s NASA SBIR/STTR awards, visit </w:t>
      </w:r>
      <w:hyperlink r:id="rId6" w:tgtFrame="_blank">
        <w:r>
          <w:rPr>
            <w:rStyle w:val="InternetLink"/>
            <w:rFonts w:ascii="Arial" w:hAnsi="Arial"/>
          </w:rPr>
          <w:t>https://sbir.nasa.gov</w:t>
        </w:r>
      </w:hyperlink>
      <w:r>
        <w:rPr>
          <w:rFonts w:ascii="Arial" w:hAnsi="Arial"/>
        </w:rPr>
        <w:t>.</w:t>
      </w:r>
    </w:p>
    <w:p>
      <w:pPr>
        <w:pStyle w:val="Heading2"/>
        <w:numPr>
          <w:ilvl w:val="1"/>
          <w:numId w:val="2"/>
        </w:numPr>
        <w:rPr>
          <w:rFonts w:ascii="Arial" w:hAnsi="Arial"/>
        </w:rPr>
      </w:pPr>
      <w:r>
        <w:rPr>
          <w:rFonts w:ascii="Arial" w:hAnsi="Arial"/>
        </w:rPr>
        <w:t>About bluShift Aerospace</w:t>
      </w:r>
    </w:p>
    <w:p>
      <w:pPr>
        <w:pStyle w:val="TextBody"/>
        <w:rPr>
          <w:rFonts w:ascii="Arial" w:hAnsi="Arial"/>
        </w:rPr>
      </w:pPr>
      <w:r>
        <w:rPr>
          <w:rFonts w:ascii="Arial" w:hAnsi="Arial"/>
        </w:rPr>
        <w:t>Founded in 2014, bluShift Aerospace is designing a bio-derived rocket fuel, and a small rocket that can lift 50-kilogram payloads to low-Earth orbit. This new launch system will dramatically reduce the environmental impact, cost, and wait times of current cubesat launch services. By launching these rockets in the state, bluShift plans to create over 40 aerospace jobs in Maine over the next 5 years, and to bring revenue from the rapidly growing cubesat (miniature satellites) launch market into the state. BluShift Aerospace is headquartered at TechPlace, at Brunswick Landing.</w:t>
      </w:r>
    </w:p>
    <w:p>
      <w:pPr>
        <w:pStyle w:val="TextBody"/>
        <w:rPr>
          <w:rFonts w:ascii="Arial" w:hAnsi="Arial"/>
        </w:rPr>
      </w:pPr>
      <w:r>
        <w:rPr>
          <w:rFonts w:ascii="Arial" w:hAnsi="Arial"/>
        </w:rPr>
      </w:r>
    </w:p>
    <w:p>
      <w:pPr>
        <w:pStyle w:val="TextBody"/>
        <w:jc w:val="center"/>
        <w:rPr>
          <w:rFonts w:ascii="Arial" w:hAnsi="Arial"/>
        </w:rPr>
      </w:pPr>
      <w:r>
        <w:rPr>
          <w:rFonts w:ascii="Arial" w:hAnsi="Arial"/>
        </w:rPr>
        <w:t>###</w:t>
      </w:r>
    </w:p>
    <w:p>
      <w:pPr>
        <w:pStyle w:val="TextBody"/>
        <w:jc w:val="center"/>
        <w:rPr>
          <w:rFonts w:ascii="Arial" w:hAnsi="Arial"/>
        </w:rPr>
      </w:pPr>
      <w:r>
        <w:rPr>
          <w:rFonts w:ascii="Arial" w:hAnsi="Arial"/>
        </w:rPr>
      </w:r>
    </w:p>
    <w:p>
      <w:pPr>
        <w:pStyle w:val="TextBody"/>
        <w:spacing w:before="0" w:after="140"/>
        <w:jc w:val="left"/>
        <w:rPr/>
      </w:pPr>
      <w:r>
        <w:rPr>
          <w:rFonts w:ascii="Arial" w:hAnsi="Arial"/>
        </w:rPr>
        <w:t xml:space="preserve">For more information about bluShift, please call Seth Lockman, Communications Director, at (207) 835-4079, ext. 149, or send an email to </w:t>
      </w:r>
      <w:hyperlink r:id="rId7">
        <w:r>
          <w:rPr>
            <w:rStyle w:val="InternetLink"/>
            <w:rFonts w:ascii="Arial" w:hAnsi="Arial"/>
            <w:sz w:val="24"/>
            <w:szCs w:val="24"/>
          </w:rPr>
          <w:t>seth.lockman@blushiftaerospace.com</w:t>
        </w:r>
      </w:hyperlink>
    </w:p>
    <w:sectPr>
      <w:footerReference w:type="default" r:id="rId8"/>
      <w:type w:val="nextPage"/>
      <w:pgSz w:w="12240" w:h="15840"/>
      <w:pgMar w:left="1134" w:right="1134" w:header="0" w:top="1969" w:footer="1693" w:bottom="280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hyperlink r:id="rId1">
      <w:r>
        <w:rPr>
          <w:rStyle w:val="InternetLink"/>
        </w:rPr>
        <w:t>https://blushiftaerospace.com</w:t>
      </w:r>
    </w:hyperlink>
  </w:p>
  <w:p>
    <w:pPr>
      <w:pStyle w:val="Footer"/>
      <w:jc w:val="center"/>
      <w:rPr/>
    </w:pPr>
    <w:r>
      <w:rPr/>
      <w:t>74 Orion St, Brunswick, ME 04011</w:t>
    </w:r>
  </w:p>
  <w:p>
    <w:pPr>
      <w:pStyle w:val="Footer"/>
      <w:jc w:val="center"/>
      <w:rPr/>
    </w:pPr>
    <w:r>
      <w:rPr/>
      <w:t>(207) 835-4079</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ongti SC" w:cs="Arial Unicode MS"/>
      <w:color w:val="auto"/>
      <w:kern w:val="2"/>
      <w:sz w:val="24"/>
      <w:szCs w:val="24"/>
      <w:lang w:val="en-US" w:eastAsia="zh-CN" w:bidi="hi-IN"/>
    </w:rPr>
  </w:style>
  <w:style w:type="paragraph" w:styleId="Heading1">
    <w:name w:val="Heading 1"/>
    <w:basedOn w:val="Heading"/>
    <w:next w:val="TextBody"/>
    <w:qFormat/>
    <w:pPr>
      <w:numPr>
        <w:ilvl w:val="0"/>
        <w:numId w:val="1"/>
      </w:numPr>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ListLabel1">
    <w:name w:val="ListLabel 1"/>
    <w:qFormat/>
    <w:rPr>
      <w:rFonts w:cs="OpenSymbol"/>
      <w:sz w:val="24"/>
    </w:rPr>
  </w:style>
  <w:style w:type="character" w:styleId="ListLabel2">
    <w:name w:val="ListLabel 2"/>
    <w:qFormat/>
    <w:rPr>
      <w:rFonts w:cs="OpenSymbol"/>
      <w:sz w:val="24"/>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InternetLink">
    <w:name w:val="Internet Link"/>
    <w:rPr>
      <w:color w:val="000080"/>
      <w:u w:val="single"/>
    </w:rPr>
  </w:style>
  <w:style w:type="character" w:styleId="ListLabel100">
    <w:name w:val="ListLabel 100"/>
    <w:qFormat/>
    <w:rPr>
      <w:b w:val="false"/>
      <w:bCs w:val="false"/>
      <w:i w:val="false"/>
      <w:iCs w:val="false"/>
      <w:strike w:val="false"/>
      <w:dstrike w:val="false"/>
      <w:outline w:val="false"/>
      <w:shadow w:val="false"/>
      <w:color w:val="000000"/>
      <w:sz w:val="24"/>
      <w:szCs w:val="24"/>
      <w:u w:val="none"/>
    </w:rPr>
  </w:style>
  <w:style w:type="character" w:styleId="ListLabel101">
    <w:name w:val="ListLabel 101"/>
    <w:qFormat/>
    <w:rPr/>
  </w:style>
  <w:style w:type="character" w:styleId="ListLabel102">
    <w:name w:val="ListLabel 102"/>
    <w:qFormat/>
    <w:rPr>
      <w:color w:val="CE181E"/>
    </w:rPr>
  </w:style>
  <w:style w:type="character" w:styleId="ListLabel103">
    <w:name w:val="ListLabel 103"/>
    <w:qFormat/>
    <w:rPr>
      <w:color w:val="CE181E"/>
    </w:rPr>
  </w:style>
  <w:style w:type="character" w:styleId="ListLabel104">
    <w:name w:val="ListLabel 104"/>
    <w:qFormat/>
    <w:rPr>
      <w:color w:val="CE181E"/>
    </w:rPr>
  </w:style>
  <w:style w:type="character" w:styleId="ListLabel105">
    <w:name w:val="ListLabel 105"/>
    <w:qFormat/>
    <w:rPr>
      <w:color w:val="2A6099"/>
    </w:rPr>
  </w:style>
  <w:style w:type="character" w:styleId="ListLabel106">
    <w:name w:val="ListLabel 106"/>
    <w:qFormat/>
    <w:rPr>
      <w:rFonts w:ascii="Arial" w:hAnsi="Arial"/>
      <w:sz w:val="24"/>
      <w:szCs w:val="24"/>
    </w:rPr>
  </w:style>
  <w:style w:type="character" w:styleId="ListLabel107">
    <w:name w:val="ListLabel 107"/>
    <w:qFormat/>
    <w:rPr>
      <w:rFonts w:ascii="Arial" w:hAnsi="Arial"/>
    </w:rPr>
  </w:style>
  <w:style w:type="character" w:styleId="ListLabel108">
    <w:name w:val="ListLabel 108"/>
    <w:qFormat/>
    <w:rPr/>
  </w:style>
  <w:style w:type="paragraph" w:styleId="Heading">
    <w:name w:val="Heading"/>
    <w:basedOn w:val="Normal"/>
    <w:next w:val="TextBody"/>
    <w:qFormat/>
    <w:pPr>
      <w:keepNext w:val="true"/>
      <w:spacing w:before="240" w:after="120"/>
    </w:pPr>
    <w:rPr>
      <w:rFonts w:ascii="Liberation Sans" w:hAnsi="Liberation Sans" w:eastAsia="PingFang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Heading10">
    <w:name w:val="Heading 10"/>
    <w:basedOn w:val="Heading"/>
    <w:next w:val="TextBody"/>
    <w:qFormat/>
    <w:pPr>
      <w:spacing w:before="60" w:after="60"/>
      <w:outlineLvl w:val="8"/>
    </w:pPr>
    <w:rPr>
      <w:b/>
      <w:bCs/>
      <w:sz w:val="21"/>
      <w:szCs w:val="21"/>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Footer">
    <w:name w:val="Footer"/>
    <w:basedOn w:val="Normal"/>
    <w:pPr>
      <w:suppressLineNumbers/>
      <w:tabs>
        <w:tab w:val="clear" w:pos="720"/>
        <w:tab w:val="center" w:pos="4986" w:leader="none"/>
        <w:tab w:val="right" w:pos="9972" w:leader="none"/>
      </w:tabs>
    </w:pPr>
    <w:rPr/>
  </w:style>
  <w:style w:type="paragraph" w:styleId="Header">
    <w:name w:val="Header"/>
    <w:basedOn w:val="Normal"/>
    <w:pPr>
      <w:suppressLineNumbers/>
      <w:tabs>
        <w:tab w:val="clear" w:pos="720"/>
        <w:tab w:val="center" w:pos="4986" w:leader="none"/>
        <w:tab w:val="right" w:pos="9972" w:leader="none"/>
      </w:tabs>
    </w:pPr>
    <w:rPr/>
  </w:style>
  <w:style w:type="paragraph" w:styleId="FrameContents">
    <w:name w:val="Frame Contents"/>
    <w:basedOn w:val="Normal"/>
    <w:qFormat/>
    <w:pPr/>
    <w:rPr/>
  </w:style>
  <w:style w:type="paragraph" w:styleId="NormalWeb">
    <w:name w:val="Normal (Web)"/>
    <w:basedOn w:val="Normal"/>
    <w:qFormat/>
    <w:pPr>
      <w:spacing w:before="280" w:after="280"/>
    </w:pPr>
    <w:rPr>
      <w:rFonts w:ascii="Times New Roman" w:hAnsi="Times New Roman" w:eastAsia="Times New Roman" w:cs="Times New Roman"/>
      <w:kern w:val="0"/>
      <w:lang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th.lockman@blushiftaerospace.com" TargetMode="External"/><Relationship Id="rId4" Type="http://schemas.openxmlformats.org/officeDocument/2006/relationships/hyperlink" Target="https://blushiftaerospace.com/" TargetMode="External"/><Relationship Id="rId5" Type="http://schemas.openxmlformats.org/officeDocument/2006/relationships/image" Target="media/image2.png"/><Relationship Id="rId6" Type="http://schemas.openxmlformats.org/officeDocument/2006/relationships/hyperlink" Target="https://sbir.nasa.gov/" TargetMode="External"/><Relationship Id="rId7" Type="http://schemas.openxmlformats.org/officeDocument/2006/relationships/hyperlink" Target="mailto:seth.lockman@blushiftaerospace.com"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blushiftaerospace.com/" TargetMode="External"/>
</Relationships>
</file>

<file path=docProps/app.xml><?xml version="1.0" encoding="utf-8"?>
<Properties xmlns="http://schemas.openxmlformats.org/officeDocument/2006/extended-properties" xmlns:vt="http://schemas.openxmlformats.org/officeDocument/2006/docPropsVTypes">
  <Template>Normal</Template>
  <TotalTime>143</TotalTime>
  <Application>LibreOffice/6.2.4.2$Windows_X86_64 LibreOffice_project/2412653d852ce75f65fbfa83fb7e7b669a126d64</Application>
  <Pages>2</Pages>
  <Words>436</Words>
  <Characters>2396</Characters>
  <CharactersWithSpaces>2821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2019-04-03T23:09:00Z</dcterms:created>
  <dc:creator>Seth Lockman</dc:creator>
  <dc:description/>
  <dc:language>en-US</dc:language>
  <cp:lastModifiedBy/>
  <dcterms:modified xsi:type="dcterms:W3CDTF">2019-06-21T09:30:47Z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